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0549133"/>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38B86F6B" w14:textId="6F8A25A5" w:rsidR="00DE189B" w:rsidRDefault="00DE189B">
          <w:pPr>
            <w:pStyle w:val="TOCHeading"/>
          </w:pPr>
          <w:r>
            <w:t>Contents</w:t>
          </w:r>
        </w:p>
        <w:p w14:paraId="3AA9DD9F" w14:textId="74628A64" w:rsidR="00DE189B" w:rsidRDefault="00DE189B">
          <w:pPr>
            <w:pStyle w:val="TOC1"/>
            <w:tabs>
              <w:tab w:val="right" w:leader="dot" w:pos="9350"/>
            </w:tabs>
            <w:rPr>
              <w:noProof/>
            </w:rPr>
          </w:pPr>
          <w:r>
            <w:fldChar w:fldCharType="begin"/>
          </w:r>
          <w:r>
            <w:instrText xml:space="preserve"> TOC \o "1-3" \h \z \u </w:instrText>
          </w:r>
          <w:r>
            <w:fldChar w:fldCharType="separate"/>
          </w:r>
          <w:hyperlink w:anchor="_Toc220122898" w:history="1">
            <w:r w:rsidRPr="002C37A2">
              <w:rPr>
                <w:rStyle w:val="Hyperlink"/>
                <w:noProof/>
              </w:rPr>
              <w:t>Note on the Foreword</w:t>
            </w:r>
            <w:r>
              <w:rPr>
                <w:noProof/>
                <w:webHidden/>
              </w:rPr>
              <w:tab/>
            </w:r>
            <w:r>
              <w:rPr>
                <w:noProof/>
                <w:webHidden/>
              </w:rPr>
              <w:fldChar w:fldCharType="begin"/>
            </w:r>
            <w:r>
              <w:rPr>
                <w:noProof/>
                <w:webHidden/>
              </w:rPr>
              <w:instrText xml:space="preserve"> PAGEREF _Toc220122898 \h </w:instrText>
            </w:r>
            <w:r>
              <w:rPr>
                <w:noProof/>
                <w:webHidden/>
              </w:rPr>
            </w:r>
            <w:r>
              <w:rPr>
                <w:noProof/>
                <w:webHidden/>
              </w:rPr>
              <w:fldChar w:fldCharType="separate"/>
            </w:r>
            <w:r>
              <w:rPr>
                <w:noProof/>
                <w:webHidden/>
              </w:rPr>
              <w:t>3</w:t>
            </w:r>
            <w:r>
              <w:rPr>
                <w:noProof/>
                <w:webHidden/>
              </w:rPr>
              <w:fldChar w:fldCharType="end"/>
            </w:r>
          </w:hyperlink>
        </w:p>
        <w:p w14:paraId="21A7F8A0" w14:textId="2EB58A0A" w:rsidR="00DE189B" w:rsidRDefault="00DE189B">
          <w:pPr>
            <w:pStyle w:val="TOC1"/>
            <w:tabs>
              <w:tab w:val="right" w:leader="dot" w:pos="9350"/>
            </w:tabs>
            <w:rPr>
              <w:noProof/>
            </w:rPr>
          </w:pPr>
          <w:hyperlink w:anchor="_Toc220122899" w:history="1">
            <w:r w:rsidRPr="002C37A2">
              <w:rPr>
                <w:rStyle w:val="Hyperlink"/>
                <w:noProof/>
              </w:rPr>
              <w:t>Introduction</w:t>
            </w:r>
            <w:r>
              <w:rPr>
                <w:noProof/>
                <w:webHidden/>
              </w:rPr>
              <w:tab/>
            </w:r>
            <w:r>
              <w:rPr>
                <w:noProof/>
                <w:webHidden/>
              </w:rPr>
              <w:fldChar w:fldCharType="begin"/>
            </w:r>
            <w:r>
              <w:rPr>
                <w:noProof/>
                <w:webHidden/>
              </w:rPr>
              <w:instrText xml:space="preserve"> PAGEREF _Toc220122899 \h </w:instrText>
            </w:r>
            <w:r>
              <w:rPr>
                <w:noProof/>
                <w:webHidden/>
              </w:rPr>
            </w:r>
            <w:r>
              <w:rPr>
                <w:noProof/>
                <w:webHidden/>
              </w:rPr>
              <w:fldChar w:fldCharType="separate"/>
            </w:r>
            <w:r>
              <w:rPr>
                <w:noProof/>
                <w:webHidden/>
              </w:rPr>
              <w:t>4</w:t>
            </w:r>
            <w:r>
              <w:rPr>
                <w:noProof/>
                <w:webHidden/>
              </w:rPr>
              <w:fldChar w:fldCharType="end"/>
            </w:r>
          </w:hyperlink>
        </w:p>
        <w:p w14:paraId="43F9E020" w14:textId="38AC1181" w:rsidR="00DE189B" w:rsidRDefault="00DE189B">
          <w:pPr>
            <w:pStyle w:val="TOC1"/>
            <w:tabs>
              <w:tab w:val="right" w:leader="dot" w:pos="9350"/>
            </w:tabs>
            <w:rPr>
              <w:noProof/>
            </w:rPr>
          </w:pPr>
          <w:hyperlink w:anchor="_Toc220122900" w:history="1">
            <w:r w:rsidRPr="002C37A2">
              <w:rPr>
                <w:rStyle w:val="Hyperlink"/>
                <w:noProof/>
              </w:rPr>
              <w:t>Scope</w:t>
            </w:r>
            <w:r>
              <w:rPr>
                <w:noProof/>
                <w:webHidden/>
              </w:rPr>
              <w:tab/>
            </w:r>
            <w:r>
              <w:rPr>
                <w:noProof/>
                <w:webHidden/>
              </w:rPr>
              <w:fldChar w:fldCharType="begin"/>
            </w:r>
            <w:r>
              <w:rPr>
                <w:noProof/>
                <w:webHidden/>
              </w:rPr>
              <w:instrText xml:space="preserve"> PAGEREF _Toc220122900 \h </w:instrText>
            </w:r>
            <w:r>
              <w:rPr>
                <w:noProof/>
                <w:webHidden/>
              </w:rPr>
            </w:r>
            <w:r>
              <w:rPr>
                <w:noProof/>
                <w:webHidden/>
              </w:rPr>
              <w:fldChar w:fldCharType="separate"/>
            </w:r>
            <w:r>
              <w:rPr>
                <w:noProof/>
                <w:webHidden/>
              </w:rPr>
              <w:t>5</w:t>
            </w:r>
            <w:r>
              <w:rPr>
                <w:noProof/>
                <w:webHidden/>
              </w:rPr>
              <w:fldChar w:fldCharType="end"/>
            </w:r>
          </w:hyperlink>
        </w:p>
        <w:p w14:paraId="16972D9F" w14:textId="3C284274" w:rsidR="00DE189B" w:rsidRDefault="00DE189B">
          <w:r>
            <w:rPr>
              <w:b/>
              <w:bCs/>
              <w:noProof/>
            </w:rPr>
            <w:fldChar w:fldCharType="end"/>
          </w:r>
        </w:p>
      </w:sdtContent>
    </w:sdt>
    <w:p w14:paraId="137688FE" w14:textId="77777777" w:rsidR="00DE189B" w:rsidRDefault="00DE189B" w:rsidP="00FB5B1F">
      <w:pPr>
        <w:pStyle w:val="Heading1"/>
      </w:pPr>
    </w:p>
    <w:p w14:paraId="4A583BA7" w14:textId="77777777" w:rsidR="00DE189B" w:rsidRDefault="00DE189B">
      <w:pPr>
        <w:rPr>
          <w:rFonts w:asciiTheme="majorHAnsi" w:eastAsiaTheme="majorEastAsia" w:hAnsiTheme="majorHAnsi" w:cstheme="majorBidi"/>
          <w:b/>
          <w:color w:val="000000" w:themeColor="text1"/>
          <w:sz w:val="40"/>
          <w:szCs w:val="40"/>
        </w:rPr>
      </w:pPr>
      <w:r>
        <w:br w:type="page"/>
      </w:r>
    </w:p>
    <w:p w14:paraId="7E33551C" w14:textId="45723B42" w:rsidR="0086732A" w:rsidRPr="0086732A" w:rsidRDefault="0086732A" w:rsidP="00FB5B1F">
      <w:pPr>
        <w:pStyle w:val="Heading1"/>
      </w:pPr>
      <w:bookmarkStart w:id="0" w:name="_Toc220122898"/>
      <w:r w:rsidRPr="0086732A">
        <w:lastRenderedPageBreak/>
        <w:t>Note on the Foreword</w:t>
      </w:r>
      <w:bookmarkEnd w:id="0"/>
    </w:p>
    <w:p w14:paraId="12550B6F" w14:textId="77777777" w:rsidR="0086732A" w:rsidRPr="0086732A" w:rsidRDefault="0086732A" w:rsidP="0086732A">
      <w:r w:rsidRPr="0086732A">
        <w:t xml:space="preserve">The Foreword sets the institutional and policy foundation of the </w:t>
      </w:r>
      <w:r w:rsidRPr="0086732A">
        <w:rPr>
          <w:i/>
          <w:iCs/>
        </w:rPr>
        <w:t>Systems &amp; Applications Standard 2023</w:t>
      </w:r>
      <w:r w:rsidRPr="0086732A">
        <w:t xml:space="preserve">. It affirms the mandate of the ICT Authority (ICTA) to set, enforce, and review ICT standards across the public service, covering systems, infrastructure, processes, human resources, and technology. The overarching aim is to ensure a coherent, unified, secure, efficient, flexible, integrated, and cost-effective use of ICTs across </w:t>
      </w:r>
      <w:proofErr w:type="gramStart"/>
      <w:r w:rsidRPr="0086732A">
        <w:t>Government .</w:t>
      </w:r>
      <w:proofErr w:type="gramEnd"/>
    </w:p>
    <w:p w14:paraId="63A46954" w14:textId="77777777" w:rsidR="0086732A" w:rsidRPr="0086732A" w:rsidRDefault="0086732A" w:rsidP="0086732A">
      <w:r w:rsidRPr="0086732A">
        <w:t xml:space="preserve">The Foreword explains that the standard was developed through a formal, consultative process led by a technical committee and aligned to both national (KEBS) and international best practices, including ISO standards. This positions the document not merely as guidance, but as a formally recognized Government ICT standard within the broader Government Enterprise Architecture (GEA) </w:t>
      </w:r>
      <w:proofErr w:type="gramStart"/>
      <w:r w:rsidRPr="0086732A">
        <w:t>framework .</w:t>
      </w:r>
      <w:proofErr w:type="gramEnd"/>
    </w:p>
    <w:p w14:paraId="3569AAB6" w14:textId="77777777" w:rsidR="0086732A" w:rsidRPr="0086732A" w:rsidRDefault="0086732A" w:rsidP="0086732A">
      <w:r w:rsidRPr="0086732A">
        <w:t xml:space="preserve">Importantly, the Foreword emphasizes </w:t>
      </w:r>
      <w:r w:rsidRPr="0086732A">
        <w:rPr>
          <w:b/>
          <w:bCs/>
        </w:rPr>
        <w:t>enforcement and compliance</w:t>
      </w:r>
      <w:r w:rsidRPr="0086732A">
        <w:t xml:space="preserve">. The ICT Authority, through its Directorate of </w:t>
      </w:r>
      <w:proofErr w:type="spellStart"/>
      <w:r w:rsidRPr="0086732A">
        <w:t>Programmes</w:t>
      </w:r>
      <w:proofErr w:type="spellEnd"/>
      <w:r w:rsidRPr="0086732A">
        <w:t xml:space="preserve"> and Standards, is responsible for:</w:t>
      </w:r>
    </w:p>
    <w:p w14:paraId="31C6D0E0" w14:textId="77777777" w:rsidR="0086732A" w:rsidRPr="0086732A" w:rsidRDefault="0086732A" w:rsidP="0086732A">
      <w:pPr>
        <w:numPr>
          <w:ilvl w:val="0"/>
          <w:numId w:val="1"/>
        </w:numPr>
      </w:pPr>
      <w:r w:rsidRPr="0086732A">
        <w:t xml:space="preserve">Conducting </w:t>
      </w:r>
      <w:r w:rsidRPr="0086732A">
        <w:rPr>
          <w:b/>
          <w:bCs/>
        </w:rPr>
        <w:t>quarterly compliance audits</w:t>
      </w:r>
      <w:r w:rsidRPr="0086732A">
        <w:t xml:space="preserve"> across Ministries, Counties, and Agencies (MCAs),</w:t>
      </w:r>
    </w:p>
    <w:p w14:paraId="3347E32A" w14:textId="77777777" w:rsidR="0086732A" w:rsidRPr="0086732A" w:rsidRDefault="0086732A" w:rsidP="0086732A">
      <w:pPr>
        <w:numPr>
          <w:ilvl w:val="0"/>
          <w:numId w:val="1"/>
        </w:numPr>
      </w:pPr>
      <w:r w:rsidRPr="0086732A">
        <w:t xml:space="preserve">Issuing </w:t>
      </w:r>
      <w:r w:rsidRPr="0086732A">
        <w:rPr>
          <w:b/>
          <w:bCs/>
        </w:rPr>
        <w:t>certificates of compliance</w:t>
      </w:r>
      <w:r w:rsidRPr="0086732A">
        <w:t xml:space="preserve"> to conforming institutions, and</w:t>
      </w:r>
    </w:p>
    <w:p w14:paraId="67E2882A" w14:textId="77777777" w:rsidR="0086732A" w:rsidRPr="0086732A" w:rsidRDefault="0086732A" w:rsidP="0086732A">
      <w:pPr>
        <w:numPr>
          <w:ilvl w:val="0"/>
          <w:numId w:val="1"/>
        </w:numPr>
      </w:pPr>
      <w:r w:rsidRPr="0086732A">
        <w:t xml:space="preserve">Reporting non-compliance cases to the </w:t>
      </w:r>
      <w:r w:rsidRPr="0086732A">
        <w:rPr>
          <w:b/>
          <w:bCs/>
        </w:rPr>
        <w:t>Standards Review Board</w:t>
      </w:r>
      <w:r w:rsidRPr="0086732A">
        <w:t xml:space="preserve"> for remedial </w:t>
      </w:r>
      <w:proofErr w:type="gramStart"/>
      <w:r w:rsidRPr="0086732A">
        <w:t>recommendations .</w:t>
      </w:r>
      <w:proofErr w:type="gramEnd"/>
    </w:p>
    <w:p w14:paraId="788E9F27" w14:textId="24FAD2B7" w:rsidR="0086732A" w:rsidRPr="0086732A" w:rsidRDefault="0086732A" w:rsidP="0086732A">
      <w:proofErr w:type="gramStart"/>
      <w:r w:rsidRPr="0086732A">
        <w:t>The  strategic</w:t>
      </w:r>
      <w:proofErr w:type="gramEnd"/>
      <w:r w:rsidRPr="0086732A">
        <w:t xml:space="preserve"> role of standards in </w:t>
      </w:r>
      <w:r w:rsidRPr="0086732A">
        <w:rPr>
          <w:b/>
          <w:bCs/>
        </w:rPr>
        <w:t>public sector integration, shared services, and value realization from ICT investments</w:t>
      </w:r>
      <w:r w:rsidRPr="0086732A">
        <w:t xml:space="preserve">, and formally calls upon all Government agencies to </w:t>
      </w:r>
      <w:r w:rsidRPr="0086732A">
        <w:rPr>
          <w:b/>
          <w:bCs/>
        </w:rPr>
        <w:t>prioritize adoption and adherence</w:t>
      </w:r>
      <w:r w:rsidRPr="0086732A">
        <w:t xml:space="preserve"> to the standard.</w:t>
      </w:r>
    </w:p>
    <w:p w14:paraId="77845FEA" w14:textId="77777777" w:rsidR="0086732A" w:rsidRDefault="0086732A"/>
    <w:p w14:paraId="4853B605" w14:textId="77777777" w:rsidR="00FB5B1F" w:rsidRDefault="00FB5B1F"/>
    <w:p w14:paraId="533B0CD8" w14:textId="77777777" w:rsidR="00FB5B1F" w:rsidRDefault="00FB5B1F"/>
    <w:p w14:paraId="1567B3E0" w14:textId="77777777" w:rsidR="00FB5B1F" w:rsidRDefault="00FB5B1F"/>
    <w:p w14:paraId="44E8AD62" w14:textId="77777777" w:rsidR="00FB5B1F" w:rsidRDefault="00FB5B1F"/>
    <w:p w14:paraId="7F9E1D90" w14:textId="77777777" w:rsidR="00FB5B1F" w:rsidRDefault="00FB5B1F"/>
    <w:p w14:paraId="2C3B8B6C" w14:textId="77777777" w:rsidR="00FB5B1F" w:rsidRDefault="00FB5B1F"/>
    <w:p w14:paraId="285F9D70" w14:textId="77777777" w:rsidR="00FB5B1F" w:rsidRDefault="00FB5B1F"/>
    <w:p w14:paraId="281A79EF" w14:textId="77777777" w:rsidR="00FB5B1F" w:rsidRDefault="00FB5B1F" w:rsidP="007634D8">
      <w:pPr>
        <w:pStyle w:val="Heading1"/>
      </w:pPr>
      <w:bookmarkStart w:id="1" w:name="_Toc220122899"/>
      <w:r w:rsidRPr="00FB5B1F">
        <w:lastRenderedPageBreak/>
        <w:t>Introduction</w:t>
      </w:r>
      <w:bookmarkEnd w:id="1"/>
      <w:r w:rsidRPr="00FB5B1F">
        <w:t xml:space="preserve"> </w:t>
      </w:r>
    </w:p>
    <w:p w14:paraId="6C280C97" w14:textId="39024B96" w:rsidR="00FB5B1F" w:rsidRPr="00FB5B1F" w:rsidRDefault="00FB5B1F" w:rsidP="00FB5B1F">
      <w:r w:rsidRPr="00FB5B1F">
        <w:t xml:space="preserve">The </w:t>
      </w:r>
      <w:r w:rsidRPr="00FB5B1F">
        <w:rPr>
          <w:b/>
          <w:bCs/>
        </w:rPr>
        <w:t>Systems &amp; Applications Standard 2023 (ICTA.6.003:2023)</w:t>
      </w:r>
      <w:r w:rsidRPr="00FB5B1F">
        <w:t xml:space="preserve"> is established in recognition of the </w:t>
      </w:r>
      <w:r w:rsidRPr="00FB5B1F">
        <w:rPr>
          <w:b/>
          <w:bCs/>
        </w:rPr>
        <w:t>growing complexity of software systems</w:t>
      </w:r>
      <w:r w:rsidRPr="00FB5B1F">
        <w:t xml:space="preserve"> used within Government. While these systems create new opportunities for service delivery and efficiency, they also introduce significant </w:t>
      </w:r>
      <w:r w:rsidRPr="00FB5B1F">
        <w:rPr>
          <w:b/>
          <w:bCs/>
        </w:rPr>
        <w:t>technical, organizational, and governance challenges</w:t>
      </w:r>
      <w:r w:rsidRPr="00FB5B1F">
        <w:t xml:space="preserve"> that span the </w:t>
      </w:r>
      <w:r w:rsidRPr="00FB5B1F">
        <w:rPr>
          <w:b/>
          <w:bCs/>
        </w:rPr>
        <w:t>entire system life cycle</w:t>
      </w:r>
      <w:r w:rsidRPr="00FB5B1F">
        <w:t xml:space="preserve"> and all </w:t>
      </w:r>
      <w:r w:rsidRPr="00FB5B1F">
        <w:rPr>
          <w:b/>
          <w:bCs/>
        </w:rPr>
        <w:t xml:space="preserve">levels of system </w:t>
      </w:r>
      <w:proofErr w:type="gramStart"/>
      <w:r w:rsidRPr="00FB5B1F">
        <w:rPr>
          <w:b/>
          <w:bCs/>
        </w:rPr>
        <w:t>architecture</w:t>
      </w:r>
      <w:r w:rsidRPr="00FB5B1F">
        <w:t xml:space="preserve"> .</w:t>
      </w:r>
      <w:proofErr w:type="gramEnd"/>
    </w:p>
    <w:p w14:paraId="5777F3C4" w14:textId="77777777" w:rsidR="00FB5B1F" w:rsidRPr="00FB5B1F" w:rsidRDefault="00FB5B1F" w:rsidP="00FB5B1F">
      <w:r w:rsidRPr="00FB5B1F">
        <w:t xml:space="preserve">The primary objective of this standard is to </w:t>
      </w:r>
      <w:r w:rsidRPr="00FB5B1F">
        <w:rPr>
          <w:b/>
          <w:bCs/>
        </w:rPr>
        <w:t>increase the likelihood that systems and applications developed or acquired by Government are both effective and efficient</w:t>
      </w:r>
      <w:r w:rsidRPr="00FB5B1F">
        <w:t xml:space="preserve">. Effectiveness is defined as the ability of systems to meet the </w:t>
      </w:r>
      <w:r w:rsidRPr="00FB5B1F">
        <w:rPr>
          <w:b/>
          <w:bCs/>
        </w:rPr>
        <w:t>current and future needs of users</w:t>
      </w:r>
      <w:r w:rsidRPr="00FB5B1F">
        <w:t xml:space="preserve">, while efficiency refers to achieving this at a </w:t>
      </w:r>
      <w:r w:rsidRPr="00FB5B1F">
        <w:rPr>
          <w:b/>
          <w:bCs/>
        </w:rPr>
        <w:t>reasonable initial cost</w:t>
      </w:r>
      <w:r w:rsidRPr="00FB5B1F">
        <w:t xml:space="preserve"> and with </w:t>
      </w:r>
      <w:r w:rsidRPr="00FB5B1F">
        <w:rPr>
          <w:b/>
          <w:bCs/>
        </w:rPr>
        <w:t>manageable operational, support, and enhancement costs</w:t>
      </w:r>
      <w:r w:rsidRPr="00FB5B1F">
        <w:t xml:space="preserve"> over </w:t>
      </w:r>
      <w:proofErr w:type="gramStart"/>
      <w:r w:rsidRPr="00FB5B1F">
        <w:t>time .</w:t>
      </w:r>
      <w:proofErr w:type="gramEnd"/>
    </w:p>
    <w:p w14:paraId="2FCF8A3C" w14:textId="77777777" w:rsidR="00FB5B1F" w:rsidRPr="00FB5B1F" w:rsidRDefault="00FB5B1F" w:rsidP="00FB5B1F">
      <w:r w:rsidRPr="00FB5B1F">
        <w:t>The standard further seeks to:</w:t>
      </w:r>
    </w:p>
    <w:p w14:paraId="47F6E614" w14:textId="77777777" w:rsidR="00FB5B1F" w:rsidRPr="00FB5B1F" w:rsidRDefault="00FB5B1F" w:rsidP="00FB5B1F">
      <w:pPr>
        <w:numPr>
          <w:ilvl w:val="0"/>
          <w:numId w:val="3"/>
        </w:numPr>
      </w:pPr>
      <w:r w:rsidRPr="00FB5B1F">
        <w:t xml:space="preserve">Promote a </w:t>
      </w:r>
      <w:r w:rsidRPr="00FB5B1F">
        <w:rPr>
          <w:b/>
          <w:bCs/>
        </w:rPr>
        <w:t>shared understanding and agreement</w:t>
      </w:r>
      <w:r w:rsidRPr="00FB5B1F">
        <w:t xml:space="preserve"> on the roles and responsibilities of different </w:t>
      </w:r>
      <w:r w:rsidRPr="00FB5B1F">
        <w:rPr>
          <w:b/>
          <w:bCs/>
        </w:rPr>
        <w:t>Ministries, Counties, Departments and Agencies (MCDAs)</w:t>
      </w:r>
      <w:r w:rsidRPr="00FB5B1F">
        <w:t xml:space="preserve"> in the development or acquisition of systems and applications.</w:t>
      </w:r>
    </w:p>
    <w:p w14:paraId="65E575A4" w14:textId="77777777" w:rsidR="00FB5B1F" w:rsidRPr="00FB5B1F" w:rsidRDefault="00FB5B1F" w:rsidP="00FB5B1F">
      <w:pPr>
        <w:numPr>
          <w:ilvl w:val="0"/>
          <w:numId w:val="3"/>
        </w:numPr>
      </w:pPr>
      <w:r w:rsidRPr="00FB5B1F">
        <w:t xml:space="preserve">Provide guidance to help MCDAs </w:t>
      </w:r>
      <w:r w:rsidRPr="00FB5B1F">
        <w:rPr>
          <w:b/>
          <w:bCs/>
        </w:rPr>
        <w:t>understand and agree on appropriate steps</w:t>
      </w:r>
      <w:r w:rsidRPr="00FB5B1F">
        <w:t xml:space="preserve"> in the systems development and acquisition </w:t>
      </w:r>
      <w:proofErr w:type="gramStart"/>
      <w:r w:rsidRPr="00FB5B1F">
        <w:t>process .</w:t>
      </w:r>
      <w:proofErr w:type="gramEnd"/>
    </w:p>
    <w:p w14:paraId="2EDEEF65" w14:textId="6ECD4F85" w:rsidR="00FB5B1F" w:rsidRPr="00FB5B1F" w:rsidRDefault="00FB5B1F" w:rsidP="00FB5B1F">
      <w:r w:rsidRPr="00FB5B1F">
        <w:t>Th</w:t>
      </w:r>
      <w:r>
        <w:t>e</w:t>
      </w:r>
      <w:r w:rsidRPr="00FB5B1F">
        <w:t xml:space="preserve"> document defines standards for the </w:t>
      </w:r>
      <w:r w:rsidRPr="00FB5B1F">
        <w:rPr>
          <w:b/>
          <w:bCs/>
        </w:rPr>
        <w:t>development (or procurement), installation, maintenance, and management of computer applications</w:t>
      </w:r>
      <w:r w:rsidRPr="00FB5B1F">
        <w:t xml:space="preserve"> used for administrative purposes within Government. It recognizes that organizational arrangements differ—some MCDAs centralize ICT responsibilities in a single ICT department, while others decentralize these functions to functional units. As such, although the term </w:t>
      </w:r>
      <w:r w:rsidRPr="00FB5B1F">
        <w:rPr>
          <w:i/>
          <w:iCs/>
        </w:rPr>
        <w:t>“ICT department”</w:t>
      </w:r>
      <w:r w:rsidRPr="00FB5B1F">
        <w:t xml:space="preserve"> is used in the standard, the requirements apply </w:t>
      </w:r>
      <w:r w:rsidRPr="00FB5B1F">
        <w:rPr>
          <w:b/>
          <w:bCs/>
        </w:rPr>
        <w:t>equally to any department or vendor</w:t>
      </w:r>
      <w:r w:rsidRPr="00FB5B1F">
        <w:t xml:space="preserve"> engaged in system development, implementation, or maintenance on behalf of an </w:t>
      </w:r>
      <w:proofErr w:type="gramStart"/>
      <w:r w:rsidRPr="00FB5B1F">
        <w:t>MCDA .</w:t>
      </w:r>
      <w:proofErr w:type="gramEnd"/>
    </w:p>
    <w:p w14:paraId="3992AEDD" w14:textId="77777777" w:rsidR="00FB5B1F" w:rsidRPr="00FB5B1F" w:rsidRDefault="00FB5B1F" w:rsidP="00FB5B1F">
      <w:r w:rsidRPr="00FB5B1F">
        <w:t xml:space="preserve">Importantly, the applicability of the standard is determined </w:t>
      </w:r>
      <w:r w:rsidRPr="00FB5B1F">
        <w:rPr>
          <w:b/>
          <w:bCs/>
        </w:rPr>
        <w:t>by the nature of the application</w:t>
      </w:r>
      <w:r w:rsidRPr="00FB5B1F">
        <w:t>, not by who develops or maintains it. Two key characteristics must be considered when determining how the standard applies:</w:t>
      </w:r>
    </w:p>
    <w:p w14:paraId="4B4B1E77" w14:textId="77777777" w:rsidR="00FB5B1F" w:rsidRPr="00FB5B1F" w:rsidRDefault="00FB5B1F" w:rsidP="00FB5B1F">
      <w:pPr>
        <w:numPr>
          <w:ilvl w:val="0"/>
          <w:numId w:val="4"/>
        </w:numPr>
      </w:pPr>
      <w:r w:rsidRPr="00FB5B1F">
        <w:rPr>
          <w:b/>
          <w:bCs/>
        </w:rPr>
        <w:t>The size and complexity of the application</w:t>
      </w:r>
      <w:r w:rsidRPr="00FB5B1F">
        <w:t>, and</w:t>
      </w:r>
    </w:p>
    <w:p w14:paraId="1BDC8E54" w14:textId="77777777" w:rsidR="00FB5B1F" w:rsidRPr="00FB5B1F" w:rsidRDefault="00FB5B1F" w:rsidP="00FB5B1F">
      <w:pPr>
        <w:numPr>
          <w:ilvl w:val="0"/>
          <w:numId w:val="4"/>
        </w:numPr>
      </w:pPr>
      <w:r w:rsidRPr="00FB5B1F">
        <w:rPr>
          <w:b/>
          <w:bCs/>
        </w:rPr>
        <w:t>The criticality and risk associated with the system</w:t>
      </w:r>
      <w:r w:rsidRPr="00FB5B1F">
        <w:t xml:space="preserve">, particularly the impact of system failure on the MCDA or Government operations as a </w:t>
      </w:r>
      <w:proofErr w:type="gramStart"/>
      <w:r w:rsidRPr="00FB5B1F">
        <w:t>whole .</w:t>
      </w:r>
      <w:proofErr w:type="gramEnd"/>
    </w:p>
    <w:p w14:paraId="774CF0D9" w14:textId="77777777" w:rsidR="00FB5B1F" w:rsidRPr="00FB5B1F" w:rsidRDefault="00FB5B1F" w:rsidP="00FB5B1F">
      <w:r w:rsidRPr="00FB5B1F">
        <w:t xml:space="preserve">A system is considered </w:t>
      </w:r>
      <w:r w:rsidRPr="00FB5B1F">
        <w:rPr>
          <w:b/>
          <w:bCs/>
        </w:rPr>
        <w:t>high risk</w:t>
      </w:r>
      <w:r w:rsidRPr="00FB5B1F">
        <w:t xml:space="preserve"> if its failure could result in:</w:t>
      </w:r>
    </w:p>
    <w:p w14:paraId="5DC0A7D8" w14:textId="77777777" w:rsidR="00FB5B1F" w:rsidRPr="00FB5B1F" w:rsidRDefault="00FB5B1F" w:rsidP="00FB5B1F">
      <w:pPr>
        <w:numPr>
          <w:ilvl w:val="0"/>
          <w:numId w:val="5"/>
        </w:numPr>
      </w:pPr>
      <w:r w:rsidRPr="00FB5B1F">
        <w:t>Major failure by an MCDA to perform essential functions,</w:t>
      </w:r>
    </w:p>
    <w:p w14:paraId="42F402C7" w14:textId="77777777" w:rsidR="00FB5B1F" w:rsidRPr="00FB5B1F" w:rsidRDefault="00FB5B1F" w:rsidP="00FB5B1F">
      <w:pPr>
        <w:numPr>
          <w:ilvl w:val="0"/>
          <w:numId w:val="5"/>
        </w:numPr>
      </w:pPr>
      <w:r w:rsidRPr="00FB5B1F">
        <w:lastRenderedPageBreak/>
        <w:t>Significant financial loss, or</w:t>
      </w:r>
    </w:p>
    <w:p w14:paraId="261B690E" w14:textId="77777777" w:rsidR="00FB5B1F" w:rsidRPr="00FB5B1F" w:rsidRDefault="00FB5B1F" w:rsidP="00FB5B1F">
      <w:pPr>
        <w:numPr>
          <w:ilvl w:val="0"/>
          <w:numId w:val="5"/>
        </w:numPr>
      </w:pPr>
      <w:r w:rsidRPr="00FB5B1F">
        <w:t xml:space="preserve">Substantial legal or liability exposure to </w:t>
      </w:r>
      <w:proofErr w:type="gramStart"/>
      <w:r w:rsidRPr="00FB5B1F">
        <w:t>Government .</w:t>
      </w:r>
      <w:proofErr w:type="gramEnd"/>
    </w:p>
    <w:p w14:paraId="47FD6AF0" w14:textId="77777777" w:rsidR="00FB5B1F" w:rsidRDefault="00FB5B1F"/>
    <w:p w14:paraId="1226483C" w14:textId="77777777" w:rsidR="00FB5B1F" w:rsidRDefault="00FB5B1F">
      <w:r w:rsidRPr="00FB5B1F">
        <w:t xml:space="preserve">For the purposes of determining, a small, less complex system is one that would take less than 1 year of effort (staff time) to develop and implement, or less than Ksh.15,000,000 in cost. </w:t>
      </w:r>
    </w:p>
    <w:p w14:paraId="5B870D5B" w14:textId="6551E760" w:rsidR="00FB5B1F" w:rsidRDefault="00FB5B1F">
      <w:r w:rsidRPr="00FB5B1F">
        <w:t>For the purposes of determining the maintenance of a system, a small, less complex maintenance project is one that would take less than 1 month of effort (staff time) to develop and implement, or less than Ksh1,500,000 in cost</w:t>
      </w:r>
    </w:p>
    <w:p w14:paraId="277E02B7" w14:textId="77777777" w:rsidR="007634D8" w:rsidRDefault="007634D8"/>
    <w:p w14:paraId="7541183E" w14:textId="77777777" w:rsidR="007634D8" w:rsidRDefault="007634D8"/>
    <w:p w14:paraId="774CDE5B" w14:textId="77777777" w:rsidR="00DE189B" w:rsidRDefault="00DE189B"/>
    <w:p w14:paraId="735EF64B" w14:textId="77777777" w:rsidR="00DE189B" w:rsidRDefault="00DE189B"/>
    <w:p w14:paraId="45EE0AB2" w14:textId="77777777" w:rsidR="00DE189B" w:rsidRDefault="00DE189B"/>
    <w:p w14:paraId="7200CA86" w14:textId="77777777" w:rsidR="00DE189B" w:rsidRDefault="00DE189B"/>
    <w:p w14:paraId="2AF48468" w14:textId="77777777" w:rsidR="00DE189B" w:rsidRDefault="00DE189B"/>
    <w:p w14:paraId="67294A87" w14:textId="77777777" w:rsidR="00DE189B" w:rsidRDefault="00DE189B"/>
    <w:p w14:paraId="143A4B12" w14:textId="77777777" w:rsidR="00DE189B" w:rsidRDefault="00DE189B"/>
    <w:p w14:paraId="1B65BFAD" w14:textId="77777777" w:rsidR="00DE189B" w:rsidRDefault="00DE189B"/>
    <w:p w14:paraId="57D28149" w14:textId="77777777" w:rsidR="00DE189B" w:rsidRDefault="00DE189B"/>
    <w:p w14:paraId="19C32921" w14:textId="77777777" w:rsidR="00DE189B" w:rsidRDefault="00DE189B"/>
    <w:p w14:paraId="75188DD0" w14:textId="77777777" w:rsidR="00DE189B" w:rsidRDefault="00DE189B"/>
    <w:p w14:paraId="4C5F004B" w14:textId="77777777" w:rsidR="00DE189B" w:rsidRDefault="00DE189B"/>
    <w:p w14:paraId="218F049F" w14:textId="77777777" w:rsidR="00DE189B" w:rsidRDefault="00DE189B"/>
    <w:p w14:paraId="50974E54" w14:textId="77777777" w:rsidR="00DE189B" w:rsidRDefault="00DE189B"/>
    <w:p w14:paraId="690F4F12" w14:textId="77777777" w:rsidR="00DE189B" w:rsidRDefault="00DE189B"/>
    <w:p w14:paraId="7D9781B0" w14:textId="76AE1219" w:rsidR="007634D8" w:rsidRPr="007634D8" w:rsidRDefault="007634D8" w:rsidP="007634D8"/>
    <w:p w14:paraId="38573666" w14:textId="607153F0" w:rsidR="007634D8" w:rsidRPr="007634D8" w:rsidRDefault="007634D8" w:rsidP="007634D8">
      <w:pPr>
        <w:pStyle w:val="Heading1"/>
      </w:pPr>
      <w:bookmarkStart w:id="2" w:name="_Toc220122900"/>
      <w:r w:rsidRPr="007634D8">
        <w:lastRenderedPageBreak/>
        <w:t>Scope</w:t>
      </w:r>
      <w:bookmarkEnd w:id="2"/>
      <w:r w:rsidRPr="007634D8">
        <w:t xml:space="preserve"> </w:t>
      </w:r>
    </w:p>
    <w:p w14:paraId="0794C7DB" w14:textId="77777777" w:rsidR="007634D8" w:rsidRPr="007634D8" w:rsidRDefault="007634D8" w:rsidP="007634D8">
      <w:pPr>
        <w:rPr>
          <w:b/>
          <w:bCs/>
        </w:rPr>
      </w:pPr>
      <w:r w:rsidRPr="007634D8">
        <w:rPr>
          <w:b/>
          <w:bCs/>
        </w:rPr>
        <w:t>1. What the standard covers (Overall scope)</w:t>
      </w:r>
    </w:p>
    <w:p w14:paraId="71C3C4F1" w14:textId="77777777" w:rsidR="007634D8" w:rsidRPr="007634D8" w:rsidRDefault="007634D8" w:rsidP="007634D8">
      <w:r w:rsidRPr="007634D8">
        <w:t xml:space="preserve">At its core, this standard provides a </w:t>
      </w:r>
      <w:r w:rsidRPr="007634D8">
        <w:rPr>
          <w:b/>
          <w:bCs/>
        </w:rPr>
        <w:t>common framework for how Government software systems should be handled across their entire life cycle</w:t>
      </w:r>
      <w:r w:rsidRPr="007634D8">
        <w:t>. That life cycle includes:</w:t>
      </w:r>
    </w:p>
    <w:p w14:paraId="7E674E14" w14:textId="77777777" w:rsidR="007634D8" w:rsidRPr="007634D8" w:rsidRDefault="007634D8" w:rsidP="007634D8">
      <w:pPr>
        <w:numPr>
          <w:ilvl w:val="0"/>
          <w:numId w:val="7"/>
        </w:numPr>
      </w:pPr>
      <w:r w:rsidRPr="007634D8">
        <w:t>Acquisition (buying or outsourcing systems),</w:t>
      </w:r>
    </w:p>
    <w:p w14:paraId="5C2B5145" w14:textId="77777777" w:rsidR="007634D8" w:rsidRPr="007634D8" w:rsidRDefault="007634D8" w:rsidP="007634D8">
      <w:pPr>
        <w:numPr>
          <w:ilvl w:val="0"/>
          <w:numId w:val="7"/>
        </w:numPr>
      </w:pPr>
      <w:r w:rsidRPr="007634D8">
        <w:t>Development (building systems internally or through vendors),</w:t>
      </w:r>
    </w:p>
    <w:p w14:paraId="04D9B596" w14:textId="77777777" w:rsidR="007634D8" w:rsidRPr="007634D8" w:rsidRDefault="007634D8" w:rsidP="007634D8">
      <w:pPr>
        <w:numPr>
          <w:ilvl w:val="0"/>
          <w:numId w:val="7"/>
        </w:numPr>
      </w:pPr>
      <w:r w:rsidRPr="007634D8">
        <w:t>Operation (day-to-day use),</w:t>
      </w:r>
    </w:p>
    <w:p w14:paraId="2F17F616" w14:textId="77777777" w:rsidR="007634D8" w:rsidRPr="007634D8" w:rsidRDefault="007634D8" w:rsidP="007634D8">
      <w:pPr>
        <w:numPr>
          <w:ilvl w:val="0"/>
          <w:numId w:val="7"/>
        </w:numPr>
      </w:pPr>
      <w:r w:rsidRPr="007634D8">
        <w:t>Maintenance (support, upgrades, fixes), and</w:t>
      </w:r>
    </w:p>
    <w:p w14:paraId="4548857B" w14:textId="77777777" w:rsidR="007634D8" w:rsidRPr="007634D8" w:rsidRDefault="007634D8" w:rsidP="007634D8">
      <w:pPr>
        <w:numPr>
          <w:ilvl w:val="0"/>
          <w:numId w:val="7"/>
        </w:numPr>
      </w:pPr>
      <w:r w:rsidRPr="007634D8">
        <w:t>Disposal or retirement of systems.</w:t>
      </w:r>
    </w:p>
    <w:p w14:paraId="0A359136" w14:textId="77777777" w:rsidR="007634D8" w:rsidRPr="007634D8" w:rsidRDefault="007634D8" w:rsidP="007634D8">
      <w:r w:rsidRPr="007634D8">
        <w:t xml:space="preserve">It applies whether these activities are done </w:t>
      </w:r>
      <w:r w:rsidRPr="007634D8">
        <w:rPr>
          <w:b/>
          <w:bCs/>
        </w:rPr>
        <w:t>internally by the institution</w:t>
      </w:r>
      <w:r w:rsidRPr="007634D8">
        <w:t xml:space="preserve"> or </w:t>
      </w:r>
      <w:r w:rsidRPr="007634D8">
        <w:rPr>
          <w:b/>
          <w:bCs/>
        </w:rPr>
        <w:t>externally by consultants and vendors</w:t>
      </w:r>
      <w:r w:rsidRPr="007634D8">
        <w:t xml:space="preserve">. It also makes it clear that “software” includes not just standalone applications, but also </w:t>
      </w:r>
      <w:r w:rsidRPr="007634D8">
        <w:rPr>
          <w:b/>
          <w:bCs/>
        </w:rPr>
        <w:t>the software components embedded in larger systems</w:t>
      </w:r>
      <w:r w:rsidRPr="007634D8">
        <w:t>, including firmware.</w:t>
      </w:r>
    </w:p>
    <w:p w14:paraId="441069B5" w14:textId="77777777" w:rsidR="007634D8" w:rsidRPr="007634D8" w:rsidRDefault="007634D8" w:rsidP="007634D8">
      <w:r w:rsidRPr="007634D8">
        <w:t xml:space="preserve">In simple terms, </w:t>
      </w:r>
      <w:r w:rsidRPr="007634D8">
        <w:rPr>
          <w:b/>
          <w:bCs/>
        </w:rPr>
        <w:t xml:space="preserve">any system that a </w:t>
      </w:r>
      <w:proofErr w:type="gramStart"/>
      <w:r w:rsidRPr="007634D8">
        <w:rPr>
          <w:b/>
          <w:bCs/>
        </w:rPr>
        <w:t>Government</w:t>
      </w:r>
      <w:proofErr w:type="gramEnd"/>
      <w:r w:rsidRPr="007634D8">
        <w:rPr>
          <w:b/>
          <w:bCs/>
        </w:rPr>
        <w:t xml:space="preserve"> institution uses or plans to use falls under this framework</w:t>
      </w:r>
      <w:r w:rsidRPr="007634D8">
        <w:t>.</w:t>
      </w:r>
    </w:p>
    <w:p w14:paraId="44B41B39" w14:textId="2C04C12E" w:rsidR="007634D8" w:rsidRPr="007634D8" w:rsidRDefault="007634D8" w:rsidP="007634D8"/>
    <w:p w14:paraId="4C8524B6" w14:textId="77777777" w:rsidR="007634D8" w:rsidRPr="007634D8" w:rsidRDefault="007634D8" w:rsidP="007634D8">
      <w:pPr>
        <w:rPr>
          <w:b/>
          <w:bCs/>
        </w:rPr>
      </w:pPr>
      <w:r w:rsidRPr="007634D8">
        <w:rPr>
          <w:b/>
          <w:bCs/>
        </w:rPr>
        <w:t xml:space="preserve">2. </w:t>
      </w:r>
      <w:proofErr w:type="gramStart"/>
      <w:r w:rsidRPr="007634D8">
        <w:rPr>
          <w:b/>
          <w:bCs/>
        </w:rPr>
        <w:t>Who</w:t>
      </w:r>
      <w:proofErr w:type="gramEnd"/>
      <w:r w:rsidRPr="007634D8">
        <w:rPr>
          <w:b/>
          <w:bCs/>
        </w:rPr>
        <w:t xml:space="preserve"> the standard applies </w:t>
      </w:r>
      <w:proofErr w:type="gramStart"/>
      <w:r w:rsidRPr="007634D8">
        <w:rPr>
          <w:b/>
          <w:bCs/>
        </w:rPr>
        <w:t>to (Field of application)</w:t>
      </w:r>
      <w:proofErr w:type="gramEnd"/>
    </w:p>
    <w:p w14:paraId="2ADE2D24" w14:textId="77777777" w:rsidR="007634D8" w:rsidRPr="007634D8" w:rsidRDefault="007634D8" w:rsidP="007634D8">
      <w:r w:rsidRPr="007634D8">
        <w:t>The standard is not selective—it applies broadly across the public sector. Specifically, it covers:</w:t>
      </w:r>
    </w:p>
    <w:p w14:paraId="28767B72" w14:textId="77777777" w:rsidR="007634D8" w:rsidRPr="007634D8" w:rsidRDefault="007634D8" w:rsidP="007634D8">
      <w:pPr>
        <w:numPr>
          <w:ilvl w:val="0"/>
          <w:numId w:val="8"/>
        </w:numPr>
      </w:pPr>
      <w:r w:rsidRPr="007634D8">
        <w:t>National Government institutions,</w:t>
      </w:r>
    </w:p>
    <w:p w14:paraId="646A952F" w14:textId="77777777" w:rsidR="007634D8" w:rsidRPr="007634D8" w:rsidRDefault="007634D8" w:rsidP="007634D8">
      <w:pPr>
        <w:numPr>
          <w:ilvl w:val="0"/>
          <w:numId w:val="8"/>
        </w:numPr>
      </w:pPr>
      <w:r w:rsidRPr="007634D8">
        <w:t>County Governments,</w:t>
      </w:r>
    </w:p>
    <w:p w14:paraId="67EA24EE" w14:textId="77777777" w:rsidR="007634D8" w:rsidRPr="007634D8" w:rsidRDefault="007634D8" w:rsidP="007634D8">
      <w:pPr>
        <w:numPr>
          <w:ilvl w:val="0"/>
          <w:numId w:val="8"/>
        </w:numPr>
      </w:pPr>
      <w:r w:rsidRPr="007634D8">
        <w:t>Constitutional Commissions, and</w:t>
      </w:r>
    </w:p>
    <w:p w14:paraId="1C97BE24" w14:textId="77777777" w:rsidR="007634D8" w:rsidRPr="007634D8" w:rsidRDefault="007634D8" w:rsidP="007634D8">
      <w:pPr>
        <w:numPr>
          <w:ilvl w:val="0"/>
          <w:numId w:val="8"/>
        </w:numPr>
      </w:pPr>
      <w:r w:rsidRPr="007634D8">
        <w:t>State Corporations.</w:t>
      </w:r>
    </w:p>
    <w:p w14:paraId="7920937F" w14:textId="77777777" w:rsidR="007634D8" w:rsidRPr="007634D8" w:rsidRDefault="007634D8" w:rsidP="007634D8">
      <w:pPr>
        <w:rPr>
          <w:b/>
          <w:bCs/>
        </w:rPr>
      </w:pPr>
      <w:r w:rsidRPr="007634D8">
        <w:rPr>
          <w:b/>
          <w:bCs/>
        </w:rPr>
        <w:t>3. Who the services are meant for (Targeted groups)</w:t>
      </w:r>
    </w:p>
    <w:p w14:paraId="71C779E7" w14:textId="77777777" w:rsidR="007634D8" w:rsidRPr="007634D8" w:rsidRDefault="007634D8" w:rsidP="007634D8">
      <w:r w:rsidRPr="007634D8">
        <w:t>The document then explains that Government systems are built to serve three main groups:</w:t>
      </w:r>
    </w:p>
    <w:p w14:paraId="0C9C7C0C" w14:textId="77777777" w:rsidR="007634D8" w:rsidRPr="007634D8" w:rsidRDefault="007634D8" w:rsidP="007634D8">
      <w:pPr>
        <w:numPr>
          <w:ilvl w:val="0"/>
          <w:numId w:val="9"/>
        </w:numPr>
      </w:pPr>
      <w:r w:rsidRPr="007634D8">
        <w:rPr>
          <w:b/>
          <w:bCs/>
        </w:rPr>
        <w:t>Government to Citizen (G2C)</w:t>
      </w:r>
      <w:r w:rsidRPr="007634D8">
        <w:t xml:space="preserve"> – systems that deliver services directly to citizens,</w:t>
      </w:r>
    </w:p>
    <w:p w14:paraId="6A4F85D7" w14:textId="77777777" w:rsidR="007634D8" w:rsidRPr="007634D8" w:rsidRDefault="007634D8" w:rsidP="007634D8">
      <w:pPr>
        <w:numPr>
          <w:ilvl w:val="0"/>
          <w:numId w:val="9"/>
        </w:numPr>
      </w:pPr>
      <w:r w:rsidRPr="007634D8">
        <w:rPr>
          <w:b/>
          <w:bCs/>
        </w:rPr>
        <w:t>Government to Business (G2B)</w:t>
      </w:r>
      <w:r w:rsidRPr="007634D8">
        <w:t xml:space="preserve"> – systems used by businesses to interact with Government, and</w:t>
      </w:r>
    </w:p>
    <w:p w14:paraId="07CE6CC4" w14:textId="77777777" w:rsidR="007634D8" w:rsidRPr="007634D8" w:rsidRDefault="007634D8" w:rsidP="007634D8">
      <w:pPr>
        <w:numPr>
          <w:ilvl w:val="0"/>
          <w:numId w:val="9"/>
        </w:numPr>
      </w:pPr>
      <w:r w:rsidRPr="007634D8">
        <w:rPr>
          <w:b/>
          <w:bCs/>
        </w:rPr>
        <w:lastRenderedPageBreak/>
        <w:t>Government to Government (G2G)</w:t>
      </w:r>
      <w:r w:rsidRPr="007634D8">
        <w:t xml:space="preserve"> – systems used internally across public institutions.</w:t>
      </w:r>
    </w:p>
    <w:p w14:paraId="152F3EA6" w14:textId="77777777" w:rsidR="007634D8" w:rsidRPr="007634D8" w:rsidRDefault="007634D8" w:rsidP="007634D8">
      <w:r w:rsidRPr="007634D8">
        <w:t xml:space="preserve">This classification is important because it acknowledges that </w:t>
      </w:r>
      <w:r w:rsidRPr="007634D8">
        <w:rPr>
          <w:b/>
          <w:bCs/>
        </w:rPr>
        <w:t>different systems have different risk profiles and service expectations</w:t>
      </w:r>
      <w:r w:rsidRPr="007634D8">
        <w:t>, even though they are all governed by the same standard.</w:t>
      </w:r>
    </w:p>
    <w:p w14:paraId="5083168F" w14:textId="4D73D302" w:rsidR="007634D8" w:rsidRPr="007634D8" w:rsidRDefault="007634D8" w:rsidP="007634D8"/>
    <w:p w14:paraId="500544E3" w14:textId="77777777" w:rsidR="007634D8" w:rsidRPr="007634D8" w:rsidRDefault="007634D8" w:rsidP="007634D8">
      <w:pPr>
        <w:rPr>
          <w:b/>
          <w:bCs/>
        </w:rPr>
      </w:pPr>
      <w:r w:rsidRPr="007634D8">
        <w:rPr>
          <w:b/>
          <w:bCs/>
        </w:rPr>
        <w:t>4. What domains the standard focuses on (Domains to be covered)</w:t>
      </w:r>
    </w:p>
    <w:p w14:paraId="7530A99B" w14:textId="77777777" w:rsidR="007634D8" w:rsidRPr="007634D8" w:rsidRDefault="007634D8" w:rsidP="007634D8">
      <w:r w:rsidRPr="007634D8">
        <w:t xml:space="preserve">This is where the scope becomes more technical and structured. The standard identifies </w:t>
      </w:r>
      <w:r w:rsidRPr="007634D8">
        <w:rPr>
          <w:b/>
          <w:bCs/>
        </w:rPr>
        <w:t>key domains that must be addressed when dealing with systems and applications</w:t>
      </w:r>
      <w:r w:rsidRPr="007634D8">
        <w:t>, including:</w:t>
      </w:r>
    </w:p>
    <w:p w14:paraId="66E783C9" w14:textId="77777777" w:rsidR="007634D8" w:rsidRPr="007634D8" w:rsidRDefault="007634D8" w:rsidP="007634D8">
      <w:pPr>
        <w:numPr>
          <w:ilvl w:val="0"/>
          <w:numId w:val="10"/>
        </w:numPr>
      </w:pPr>
      <w:r w:rsidRPr="007634D8">
        <w:rPr>
          <w:b/>
          <w:bCs/>
        </w:rPr>
        <w:t>Architectural models for e-Government</w:t>
      </w:r>
      <w:r w:rsidRPr="007634D8">
        <w:t>, covering different viewpoints such as enterprise, information, application, engineering, and technology. This ensures systems are not designed in isolation but as part of a bigger Government architecture.</w:t>
      </w:r>
    </w:p>
    <w:p w14:paraId="5AB7A630" w14:textId="77777777" w:rsidR="007634D8" w:rsidRPr="007634D8" w:rsidRDefault="007634D8" w:rsidP="007634D8">
      <w:pPr>
        <w:numPr>
          <w:ilvl w:val="0"/>
          <w:numId w:val="10"/>
        </w:numPr>
      </w:pPr>
      <w:r w:rsidRPr="007634D8">
        <w:rPr>
          <w:b/>
          <w:bCs/>
        </w:rPr>
        <w:t>Application and system software management</w:t>
      </w:r>
      <w:r w:rsidRPr="007634D8">
        <w:t xml:space="preserve">, which spans planning, analysis, acquisition, development, maintenance, retirement, and disposal. This reinforces the idea that compliance is not just about development, but about </w:t>
      </w:r>
      <w:r w:rsidRPr="007634D8">
        <w:rPr>
          <w:b/>
          <w:bCs/>
        </w:rPr>
        <w:t>the full life cycle</w:t>
      </w:r>
      <w:r w:rsidRPr="007634D8">
        <w:t>.</w:t>
      </w:r>
    </w:p>
    <w:p w14:paraId="526F560E" w14:textId="77777777" w:rsidR="007634D8" w:rsidRPr="007634D8" w:rsidRDefault="007634D8" w:rsidP="007634D8">
      <w:pPr>
        <w:numPr>
          <w:ilvl w:val="0"/>
          <w:numId w:val="10"/>
        </w:numPr>
      </w:pPr>
      <w:r w:rsidRPr="007634D8">
        <w:rPr>
          <w:b/>
          <w:bCs/>
        </w:rPr>
        <w:t>Unified communications</w:t>
      </w:r>
      <w:r w:rsidRPr="007634D8">
        <w:t>, including email, messaging, video conferencing, and even social media usage, recognizing these as integral parts of modern Government systems.</w:t>
      </w:r>
    </w:p>
    <w:p w14:paraId="14453007" w14:textId="77777777" w:rsidR="007634D8" w:rsidRPr="007634D8" w:rsidRDefault="007634D8" w:rsidP="007634D8">
      <w:pPr>
        <w:numPr>
          <w:ilvl w:val="0"/>
          <w:numId w:val="10"/>
        </w:numPr>
      </w:pPr>
      <w:r w:rsidRPr="007634D8">
        <w:rPr>
          <w:b/>
          <w:bCs/>
        </w:rPr>
        <w:t>Websites and web systems</w:t>
      </w:r>
      <w:r w:rsidRPr="007634D8">
        <w:t>, covering governance, hosting, branding, content, and domain management. In practice, this brings Government websites under the same discipline as enterprise systems.</w:t>
      </w:r>
    </w:p>
    <w:p w14:paraId="3D504752" w14:textId="77777777" w:rsidR="007634D8" w:rsidRPr="007634D8" w:rsidRDefault="007634D8" w:rsidP="007634D8">
      <w:pPr>
        <w:numPr>
          <w:ilvl w:val="0"/>
          <w:numId w:val="10"/>
        </w:numPr>
      </w:pPr>
      <w:r w:rsidRPr="007634D8">
        <w:rPr>
          <w:b/>
          <w:bCs/>
        </w:rPr>
        <w:t>Integration and interoperability</w:t>
      </w:r>
      <w:r w:rsidRPr="007634D8">
        <w:t>, ensuring systems can communicate, share data, and avoid silos.</w:t>
      </w:r>
    </w:p>
    <w:p w14:paraId="4BCCF944" w14:textId="77777777" w:rsidR="007634D8" w:rsidRPr="007634D8" w:rsidRDefault="007634D8" w:rsidP="007634D8">
      <w:pPr>
        <w:numPr>
          <w:ilvl w:val="0"/>
          <w:numId w:val="10"/>
        </w:numPr>
      </w:pPr>
      <w:r w:rsidRPr="007634D8">
        <w:rPr>
          <w:b/>
          <w:bCs/>
        </w:rPr>
        <w:t>Licensing and system governance</w:t>
      </w:r>
      <w:r w:rsidRPr="007634D8">
        <w:t>, which ties systems back to compliance, accountability, and legal use of software.</w:t>
      </w:r>
    </w:p>
    <w:p w14:paraId="118395CD" w14:textId="77777777" w:rsidR="007634D8" w:rsidRPr="007634D8" w:rsidRDefault="007634D8" w:rsidP="007634D8">
      <w:pPr>
        <w:numPr>
          <w:ilvl w:val="0"/>
          <w:numId w:val="10"/>
        </w:numPr>
      </w:pPr>
      <w:r w:rsidRPr="007634D8">
        <w:rPr>
          <w:b/>
          <w:bCs/>
        </w:rPr>
        <w:t>Emerging technologies</w:t>
      </w:r>
      <w:r w:rsidRPr="007634D8">
        <w:t>, acknowledging that Government systems must evolve and that new technologies must still be governed within a standard framework.</w:t>
      </w:r>
    </w:p>
    <w:p w14:paraId="001682C3" w14:textId="6F72D0A3" w:rsidR="007634D8" w:rsidRPr="007634D8" w:rsidRDefault="007634D8" w:rsidP="007634D8"/>
    <w:p w14:paraId="7AA32989" w14:textId="77777777" w:rsidR="007634D8" w:rsidRPr="007634D8" w:rsidRDefault="007634D8" w:rsidP="007634D8">
      <w:pPr>
        <w:rPr>
          <w:b/>
          <w:bCs/>
        </w:rPr>
      </w:pPr>
      <w:r w:rsidRPr="007634D8">
        <w:rPr>
          <w:b/>
          <w:bCs/>
        </w:rPr>
        <w:t>5. What the standard deliberately does NOT do (Limitations)</w:t>
      </w:r>
    </w:p>
    <w:p w14:paraId="607D5D89" w14:textId="75C33F9D" w:rsidR="007634D8" w:rsidRPr="007634D8" w:rsidRDefault="00DE189B" w:rsidP="007634D8">
      <w:r>
        <w:t>T</w:t>
      </w:r>
      <w:r w:rsidR="007634D8" w:rsidRPr="007634D8">
        <w:t xml:space="preserve">he standard makes it clear that it </w:t>
      </w:r>
      <w:r w:rsidR="007634D8" w:rsidRPr="007634D8">
        <w:rPr>
          <w:b/>
          <w:bCs/>
        </w:rPr>
        <w:t>does not force institutions to use a specific software development methodology</w:t>
      </w:r>
      <w:r w:rsidR="007634D8" w:rsidRPr="007634D8">
        <w:t>. It does not mandate Agile, Waterfall, or any other model.</w:t>
      </w:r>
    </w:p>
    <w:p w14:paraId="447A467B" w14:textId="77777777" w:rsidR="007634D8" w:rsidRPr="007634D8" w:rsidRDefault="007634D8" w:rsidP="007634D8">
      <w:r w:rsidRPr="007634D8">
        <w:t>Instead, the responsibility is on the institution or project team to:</w:t>
      </w:r>
    </w:p>
    <w:p w14:paraId="21EEC43D" w14:textId="77777777" w:rsidR="007634D8" w:rsidRPr="007634D8" w:rsidRDefault="007634D8" w:rsidP="007634D8">
      <w:pPr>
        <w:numPr>
          <w:ilvl w:val="0"/>
          <w:numId w:val="11"/>
        </w:numPr>
      </w:pPr>
      <w:r w:rsidRPr="007634D8">
        <w:t>Choose an appropriate life cycle or methodology, and</w:t>
      </w:r>
    </w:p>
    <w:p w14:paraId="5FEB0CAF" w14:textId="77777777" w:rsidR="007634D8" w:rsidRPr="007634D8" w:rsidRDefault="007634D8" w:rsidP="007634D8">
      <w:pPr>
        <w:numPr>
          <w:ilvl w:val="0"/>
          <w:numId w:val="11"/>
        </w:numPr>
      </w:pPr>
      <w:r w:rsidRPr="007634D8">
        <w:lastRenderedPageBreak/>
        <w:t>Map that chosen approach to the processes, activities, and controls outlined in the standard.</w:t>
      </w:r>
    </w:p>
    <w:sectPr w:rsidR="007634D8" w:rsidRPr="00763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3CF"/>
    <w:multiLevelType w:val="multilevel"/>
    <w:tmpl w:val="942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D29"/>
    <w:multiLevelType w:val="multilevel"/>
    <w:tmpl w:val="5F46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9646B"/>
    <w:multiLevelType w:val="multilevel"/>
    <w:tmpl w:val="4BE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33CAB"/>
    <w:multiLevelType w:val="multilevel"/>
    <w:tmpl w:val="3BB8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3FF"/>
    <w:multiLevelType w:val="multilevel"/>
    <w:tmpl w:val="A188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A6193"/>
    <w:multiLevelType w:val="multilevel"/>
    <w:tmpl w:val="2B5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F623C"/>
    <w:multiLevelType w:val="multilevel"/>
    <w:tmpl w:val="D9A0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D6CE5"/>
    <w:multiLevelType w:val="multilevel"/>
    <w:tmpl w:val="9C8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7452C"/>
    <w:multiLevelType w:val="multilevel"/>
    <w:tmpl w:val="E17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710EE"/>
    <w:multiLevelType w:val="multilevel"/>
    <w:tmpl w:val="4ED8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B7FF8"/>
    <w:multiLevelType w:val="multilevel"/>
    <w:tmpl w:val="5912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44B88"/>
    <w:multiLevelType w:val="multilevel"/>
    <w:tmpl w:val="F086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67960">
    <w:abstractNumId w:val="2"/>
  </w:num>
  <w:num w:numId="2" w16cid:durableId="74978897">
    <w:abstractNumId w:val="10"/>
  </w:num>
  <w:num w:numId="3" w16cid:durableId="1301838418">
    <w:abstractNumId w:val="1"/>
  </w:num>
  <w:num w:numId="4" w16cid:durableId="665742208">
    <w:abstractNumId w:val="11"/>
  </w:num>
  <w:num w:numId="5" w16cid:durableId="1554463877">
    <w:abstractNumId w:val="7"/>
  </w:num>
  <w:num w:numId="6" w16cid:durableId="892274355">
    <w:abstractNumId w:val="0"/>
  </w:num>
  <w:num w:numId="7" w16cid:durableId="550658369">
    <w:abstractNumId w:val="3"/>
  </w:num>
  <w:num w:numId="8" w16cid:durableId="2089032397">
    <w:abstractNumId w:val="6"/>
  </w:num>
  <w:num w:numId="9" w16cid:durableId="250361342">
    <w:abstractNumId w:val="9"/>
  </w:num>
  <w:num w:numId="10" w16cid:durableId="402334629">
    <w:abstractNumId w:val="4"/>
  </w:num>
  <w:num w:numId="11" w16cid:durableId="433791957">
    <w:abstractNumId w:val="5"/>
  </w:num>
  <w:num w:numId="12" w16cid:durableId="850527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6F"/>
    <w:rsid w:val="0023740D"/>
    <w:rsid w:val="003936CF"/>
    <w:rsid w:val="003E2CC5"/>
    <w:rsid w:val="0048392E"/>
    <w:rsid w:val="00537709"/>
    <w:rsid w:val="00564D2A"/>
    <w:rsid w:val="007634D8"/>
    <w:rsid w:val="0086732A"/>
    <w:rsid w:val="00956AC3"/>
    <w:rsid w:val="009B2E2D"/>
    <w:rsid w:val="00B84271"/>
    <w:rsid w:val="00C0596F"/>
    <w:rsid w:val="00D0061D"/>
    <w:rsid w:val="00D9224F"/>
    <w:rsid w:val="00DE189B"/>
    <w:rsid w:val="00F82997"/>
    <w:rsid w:val="00FB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1CE1"/>
  <w15:chartTrackingRefBased/>
  <w15:docId w15:val="{31B96884-4DC7-404B-8865-82D67501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634D8"/>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semiHidden/>
    <w:unhideWhenUsed/>
    <w:qFormat/>
    <w:rsid w:val="00C05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4D8"/>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semiHidden/>
    <w:rsid w:val="00C05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96F"/>
    <w:rPr>
      <w:rFonts w:eastAsiaTheme="majorEastAsia" w:cstheme="majorBidi"/>
      <w:color w:val="272727" w:themeColor="text1" w:themeTint="D8"/>
    </w:rPr>
  </w:style>
  <w:style w:type="paragraph" w:styleId="Title">
    <w:name w:val="Title"/>
    <w:basedOn w:val="Normal"/>
    <w:next w:val="Normal"/>
    <w:link w:val="TitleChar"/>
    <w:uiPriority w:val="10"/>
    <w:qFormat/>
    <w:rsid w:val="00C05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96F"/>
    <w:pPr>
      <w:spacing w:before="160"/>
      <w:jc w:val="center"/>
    </w:pPr>
    <w:rPr>
      <w:i/>
      <w:iCs/>
      <w:color w:val="404040" w:themeColor="text1" w:themeTint="BF"/>
    </w:rPr>
  </w:style>
  <w:style w:type="character" w:customStyle="1" w:styleId="QuoteChar">
    <w:name w:val="Quote Char"/>
    <w:basedOn w:val="DefaultParagraphFont"/>
    <w:link w:val="Quote"/>
    <w:uiPriority w:val="29"/>
    <w:rsid w:val="00C0596F"/>
    <w:rPr>
      <w:i/>
      <w:iCs/>
      <w:color w:val="404040" w:themeColor="text1" w:themeTint="BF"/>
    </w:rPr>
  </w:style>
  <w:style w:type="paragraph" w:styleId="ListParagraph">
    <w:name w:val="List Paragraph"/>
    <w:basedOn w:val="Normal"/>
    <w:uiPriority w:val="34"/>
    <w:qFormat/>
    <w:rsid w:val="00C0596F"/>
    <w:pPr>
      <w:ind w:left="720"/>
      <w:contextualSpacing/>
    </w:pPr>
  </w:style>
  <w:style w:type="character" w:styleId="IntenseEmphasis">
    <w:name w:val="Intense Emphasis"/>
    <w:basedOn w:val="DefaultParagraphFont"/>
    <w:uiPriority w:val="21"/>
    <w:qFormat/>
    <w:rsid w:val="00C0596F"/>
    <w:rPr>
      <w:i/>
      <w:iCs/>
      <w:color w:val="2F5496" w:themeColor="accent1" w:themeShade="BF"/>
    </w:rPr>
  </w:style>
  <w:style w:type="paragraph" w:styleId="IntenseQuote">
    <w:name w:val="Intense Quote"/>
    <w:basedOn w:val="Normal"/>
    <w:next w:val="Normal"/>
    <w:link w:val="IntenseQuoteChar"/>
    <w:uiPriority w:val="30"/>
    <w:qFormat/>
    <w:rsid w:val="00C05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96F"/>
    <w:rPr>
      <w:i/>
      <w:iCs/>
      <w:color w:val="2F5496" w:themeColor="accent1" w:themeShade="BF"/>
    </w:rPr>
  </w:style>
  <w:style w:type="character" w:styleId="IntenseReference">
    <w:name w:val="Intense Reference"/>
    <w:basedOn w:val="DefaultParagraphFont"/>
    <w:uiPriority w:val="32"/>
    <w:qFormat/>
    <w:rsid w:val="00C0596F"/>
    <w:rPr>
      <w:b/>
      <w:bCs/>
      <w:smallCaps/>
      <w:color w:val="2F5496" w:themeColor="accent1" w:themeShade="BF"/>
      <w:spacing w:val="5"/>
    </w:rPr>
  </w:style>
  <w:style w:type="paragraph" w:styleId="TOCHeading">
    <w:name w:val="TOC Heading"/>
    <w:basedOn w:val="Heading1"/>
    <w:next w:val="Normal"/>
    <w:uiPriority w:val="39"/>
    <w:unhideWhenUsed/>
    <w:qFormat/>
    <w:rsid w:val="00DE189B"/>
    <w:pPr>
      <w:spacing w:before="240" w:after="0" w:line="259" w:lineRule="auto"/>
      <w:outlineLvl w:val="9"/>
    </w:pPr>
    <w:rPr>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DE189B"/>
    <w:pPr>
      <w:spacing w:after="100"/>
    </w:pPr>
  </w:style>
  <w:style w:type="character" w:styleId="Hyperlink">
    <w:name w:val="Hyperlink"/>
    <w:basedOn w:val="DefaultParagraphFont"/>
    <w:uiPriority w:val="99"/>
    <w:unhideWhenUsed/>
    <w:rsid w:val="00DE18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C170-6D6C-4339-A5CE-7F52035C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CANJETAN NGAHU</dc:creator>
  <cp:keywords/>
  <dc:description/>
  <cp:lastModifiedBy>CANJETAN NGAHU</cp:lastModifiedBy>
  <cp:revision>2</cp:revision>
  <dcterms:created xsi:type="dcterms:W3CDTF">2026-01-24T01:55:00Z</dcterms:created>
  <dcterms:modified xsi:type="dcterms:W3CDTF">2026-01-24T01:55:00Z</dcterms:modified>
</cp:coreProperties>
</file>